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Vara kommunfullmäktige</w:t>
      </w:r>
    </w:p>
    <w:p>
      <w:pPr>
        <w:pStyle w:val="Heading1"/>
      </w:pPr>
      <w:r>
        <w:t xml:space="preserve">Stärkt läsning i årskurs 1–3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Vara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Vara kommuns meritvärde i årskurs 9 ligger på 225 poäng (Kolada 2024), under rikssnittet. Tidig lästräning är avgörande för senare kunskapsresultat. Kommunen saknar systematisk screening av läsförståelse i lågstadiet.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Vara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läsdiagnos i årskurs 1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800 000 kronor årligen för extra läslärare i årskurs 1–3.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alla skolor i Vara ska använda evidensbaserade läsmetoder senast 2028.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läsresultat per skola i kommunens årsredovisning.</w:t>
      </w:r>
    </w:p>
    <w:p>
      <w:pPr>
        <w:spacing w:before="360"/>
      </w:pPr>
    </w:p>
    <w:p>
      <w:r>
        <w:t xml:space="preserve">Vara,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Vara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2026-07-14T05:35:02.009Z</dcterms:created>
  <dcterms:modified xsi:type="dcterms:W3CDTF">2026-07-14T05:35:02.009Z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